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Estimados padres de Henry,</w:t>
      </w:r>
    </w:p>
    <w:p w:rsidR="00000000" w:rsidDel="00000000" w:rsidP="00000000" w:rsidRDefault="00000000" w:rsidRPr="00000000" w14:paraId="00000003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Como les prometí a todos, tendría información para nuestro regreso a la escuela. Esta primera ronda de información proviene del distrito y de Henry.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Reconozco que se trata de mucha información a la vez, pero sé que querrás leer esto lo antes posible ...</w:t>
      </w:r>
    </w:p>
    <w:p w:rsidR="00000000" w:rsidDel="00000000" w:rsidP="00000000" w:rsidRDefault="00000000" w:rsidRPr="00000000" w14:paraId="00000007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08.5714285714286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A lo largo del mes de marzo, brindaré múltiples oportunidades para que usted y yo exploremos más a fondo toda la información de este documento. (Martes ZOOM Chats: 9, 16 y 23 de marzo a las 6:00 p.m.) La siguiente tabla muestra los temas que se abordarán con más profundidad cada semana. Además, se llevará a cabo una vista previa de reapertura ... la semana del 22 de marzo - TK, Kinder y primer grado Meet and Greet con su maestro con cita previa. Los maestros programan su visita individualizada con su estudiante y sus padres. Más información próximamente.</w:t>
      </w:r>
    </w:p>
    <w:p w:rsidR="00000000" w:rsidDel="00000000" w:rsidP="00000000" w:rsidRDefault="00000000" w:rsidRPr="00000000" w14:paraId="00000009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6390"/>
        <w:tblGridChange w:id="0">
          <w:tblGrid>
            <w:gridCol w:w="3405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Semana de...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Tópicos cubiertos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8-12 de marzo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Este documento (descripción general)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(9 de marzo a las 6:00 p.m.)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15-19 de marzo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Protocolos de prueba COVID para personal y estudiantes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Protocolos de entrada y salida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Protocolos de acceso público y salud y seguridad.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(16 de marzo a las 6:00 p.m.)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22-26 de marzo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Última charla antes de regresar en persona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(23 de marzo a las 6:00 p.m.)</w:t>
            </w:r>
          </w:p>
          <w:p w:rsidR="00000000" w:rsidDel="00000000" w:rsidP="00000000" w:rsidRDefault="00000000" w:rsidRPr="00000000" w14:paraId="00000019">
            <w:pPr>
              <w:spacing w:after="0" w:before="0" w:line="308.5714285714286" w:lineRule="auto"/>
              <w:rPr>
                <w:rFonts w:ascii="Arial" w:cs="Arial" w:eastAsia="Arial" w:hAnsi="Arial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hd w:fill="f8f9fa" w:val="clear"/>
                <w:rtl w:val="0"/>
              </w:rPr>
              <w:t xml:space="preserve">Meet and Greet de TK, Kinder y 1er grado</w:t>
            </w:r>
          </w:p>
        </w:tc>
      </w:tr>
    </w:tbl>
    <w:p w:rsidR="00000000" w:rsidDel="00000000" w:rsidP="00000000" w:rsidRDefault="00000000" w:rsidRPr="00000000" w14:paraId="0000001A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Mientras tanto, tómese un tiempo para revisar los documentos vinculados que proporcionarán más detalles sobre nuestros planes de reabrir Henry para recibir instrucción en persona el 29 de marzo.</w:t>
      </w:r>
    </w:p>
    <w:p w:rsidR="00000000" w:rsidDel="00000000" w:rsidP="00000000" w:rsidRDefault="00000000" w:rsidRPr="00000000" w14:paraId="0000001D">
      <w:pPr>
        <w:spacing w:after="0" w:before="0" w:line="308.571428571428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Si tiene alguna pregunta, no dude en enviarla aquí: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Patriotas Chat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>
          <w:rFonts w:ascii="Arial" w:cs="Arial" w:eastAsia="Arial" w:hAnsi="Arial"/>
          <w:color w:val="202124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202124"/>
          <w:shd w:fill="f8f9fa" w:val="clear"/>
          <w:rtl w:val="0"/>
        </w:rPr>
        <w:t xml:space="preserve">Atentamente,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Directora Vitetta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Linked documents:</w:t>
      </w:r>
    </w:p>
    <w:p w:rsidR="00000000" w:rsidDel="00000000" w:rsidP="00000000" w:rsidRDefault="00000000" w:rsidRPr="00000000" w14:paraId="00000024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Padres #1: Instrucción en el Salón de Clases y Materiales Educativos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Padres #2: Entrada/Llegada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Padres #3: Limpieza, desinfección e higienización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Padres #4: Asignaciones y Ubicaciones de los Estudiantes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Padres #5: Acceso Público a las Oficinas Escolares y al Plantel Escolar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footerReference r:id="rId16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504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2114552</wp:posOffset>
              </wp:positionH>
              <wp:positionV relativeFrom="page">
                <wp:posOffset>290515</wp:posOffset>
              </wp:positionV>
              <wp:extent cx="5524500" cy="1269741"/>
              <wp:effectExtent b="0" l="0" r="0" t="0"/>
              <wp:wrapSquare wrapText="bothSides" distB="114300" distT="11430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2553000" y="3160350"/>
                        <a:ext cx="5586000" cy="123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040" w:right="0" w:firstLine="252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Patrick Henry Elementary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Dual Immersion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Long Beach Unified School District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3720 Canehill Avenue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Long Beach, CA 90808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(562) 421-3754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Principal: Rose Vitetta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2114552</wp:posOffset>
              </wp:positionH>
              <wp:positionV relativeFrom="page">
                <wp:posOffset>290515</wp:posOffset>
              </wp:positionV>
              <wp:extent cx="5524500" cy="1269741"/>
              <wp:effectExtent b="0" l="0" r="0" t="0"/>
              <wp:wrapSquare wrapText="bothSides" distB="114300" distT="114300" distL="114300" distR="114300"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0" cy="12697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  <w:rtl w:val="0"/>
      </w:rPr>
      <w:t xml:space="preserve">      </w: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561975</wp:posOffset>
              </wp:positionH>
              <wp:positionV relativeFrom="page">
                <wp:posOffset>390525</wp:posOffset>
              </wp:positionV>
              <wp:extent cx="3414713" cy="1066800"/>
              <wp:effectExtent b="0" l="0" r="0" t="0"/>
              <wp:wrapTopAndBottom distB="114300" distT="114300"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38644" y="3246600"/>
                        <a:ext cx="3414713" cy="1066800"/>
                        <a:chOff x="3638644" y="3246600"/>
                        <a:chExt cx="3414713" cy="1066800"/>
                      </a:xfrm>
                    </wpg:grpSpPr>
                    <wpg:grpSp>
                      <wpg:cNvGrpSpPr/>
                      <wpg:grpSpPr>
                        <a:xfrm>
                          <a:off x="3638644" y="3246600"/>
                          <a:ext cx="3414713" cy="1066800"/>
                          <a:chOff x="3638644" y="3246600"/>
                          <a:chExt cx="3414713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638644" y="3246600"/>
                            <a:ext cx="3414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38644" y="3246600"/>
                            <a:ext cx="3414713" cy="1066800"/>
                            <a:chOff x="3638644" y="3246600"/>
                            <a:chExt cx="3414713" cy="1066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638644" y="3246600"/>
                              <a:ext cx="34147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38644" y="3246600"/>
                              <a:ext cx="3414713" cy="1066800"/>
                              <a:chOff x="3638644" y="3246600"/>
                              <a:chExt cx="3414713" cy="10668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638644" y="3246600"/>
                                <a:ext cx="34147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638644" y="3246600"/>
                                <a:ext cx="3414713" cy="1066800"/>
                                <a:chOff x="152400" y="152400"/>
                                <a:chExt cx="2066925" cy="104775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52400" y="152400"/>
                                  <a:ext cx="20669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52400" y="152400"/>
                                  <a:ext cx="20669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561975</wp:posOffset>
              </wp:positionH>
              <wp:positionV relativeFrom="page">
                <wp:posOffset>390525</wp:posOffset>
              </wp:positionV>
              <wp:extent cx="3414713" cy="1066800"/>
              <wp:effectExtent b="0" l="0" r="0" t="0"/>
              <wp:wrapTopAndBottom distB="114300" distT="114300"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4713" cy="1066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effect w:val="none"/>
      <w:vertAlign w:val="baseline"/>
      <w:cs w:val="0"/>
      <w:em w:val="none"/>
      <w:lang w:bidi="ar-SA" w:eastAsia="en-US" w:val="und"/>
    </w:rPr>
  </w:style>
  <w:style w:type="paragraph" w:styleId="Footer1">
    <w:name w:val="Footer1"/>
    <w:next w:val="Footer1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Normal(Web)1">
    <w:name w:val="Normal (Web)1"/>
    <w:next w:val="Normal(Web)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ヒラギノ角ゴ Pro W3" w:hAnsi="Times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yyD-v9mBoC0XikdEO6Jj6qM4sUn2BD9d_dNlT92gpp0/edit?usp=sharing" TargetMode="External"/><Relationship Id="rId10" Type="http://schemas.openxmlformats.org/officeDocument/2006/relationships/hyperlink" Target="https://docs.google.com/document/d/19jWifZbdRk4N0ZeysC2M4Vnxno0XCT2QJMGCeomdP0U/edit?usp=sharing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docs.google.com/document/d/1yo9O3wF4ZOfjLNLNHOFCk9RJnCZ6aVMapHwYe5mCkd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SGJ8ZiXClQ2y0A_0BqLpfB9cIWHSUVJ0SUQsGyRSbxk/edit?usp=sharing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KhWGUvy7env0lsalwrn2eQV_gZyzhAajTQXL86ddkm1tF0Q/viewform?usp=pp_url" TargetMode="External"/><Relationship Id="rId8" Type="http://schemas.openxmlformats.org/officeDocument/2006/relationships/hyperlink" Target="https://docs.google.com/document/d/1JFkCWngivjiCXcPpGZEqVqVSxsNNxOc8l5giO07i_k4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zGtpVzM3H3jK+r1n2VbIfb4AQ==">AMUW2mU5Lrr2WTX76IiASlOFJTQ+A8BZ8gDy7+sA/iYlaTTnfrr0I14d5LOWvptCdfYVooQhN+Sq7dXDhfR/Ue4fQMG2/MTOQjRhN/jxeBGhwPXV9KvDVoU=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2015-08-21T05:05:00Z</dcterms:created>
  <dc:creator>Omar and Cynthia Esteban Munoz</dc:creator>
</cp:coreProperties>
</file>